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680"/>
        <w:tblGridChange w:id="0">
          <w:tblGrid>
            <w:gridCol w:w="4650"/>
            <w:gridCol w:w="4680"/>
          </w:tblGrid>
        </w:tblGridChange>
      </w:tblGrid>
      <w:tr>
        <w:trPr>
          <w:trHeight w:val="720" w:hRule="atLeast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Positives +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 we know? (Evidence to support an evaluation - cause and effect evidence)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 strain on court system (time and money)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Law Report 2012 - saves $10,000 per day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Law Report 2012 - court system would not cope without charge negotiation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Guilty party is guaranteed to get time in prison (be separated from public - leading to public safety)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Law Report 2012 - even though the accused gets a reduced sentences, the penalty is not insufficient.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Prosecutors need to get a certificate signed to prove that the victim or their family were properly consulted before the agreement was reached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Negatives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 we know? (Evidence to support an evaluation - cause and effect evidence)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  <w:t xml:space="preserve">Use the slide notes 3f on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http://crimeuhsmraziz.weebly.com/topic-3-criminal-trial-process.html</w:t>
      </w:r>
    </w:hyperlink>
    <w:r w:rsidDel="00000000" w:rsidR="00000000" w:rsidRPr="00000000">
      <w:rPr>
        <w:rtl w:val="0"/>
      </w:rPr>
      <w:t xml:space="preserve"> to complete the table. Some examples have been provided.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crimeuhsmraziz.weebly.com/topic-3-criminal-trial-proc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